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C176A4" w:rsidRDefault="009276ED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87368" w:rsidRPr="00C176A4">
              <w:rPr>
                <w:b/>
              </w:rPr>
              <w:t>OBRAZAC</w:t>
            </w:r>
          </w:p>
          <w:p w:rsidR="00487368" w:rsidRPr="00C176A4" w:rsidRDefault="00485374" w:rsidP="00C176A4">
            <w:pPr>
              <w:jc w:val="center"/>
              <w:rPr>
                <w:b/>
              </w:rPr>
            </w:pPr>
            <w:r w:rsidRPr="00C176A4">
              <w:rPr>
                <w:b/>
              </w:rPr>
              <w:t>i</w:t>
            </w:r>
            <w:r w:rsidR="00487368" w:rsidRPr="00C176A4">
              <w:rPr>
                <w:b/>
              </w:rPr>
              <w:t>zvješća</w:t>
            </w:r>
            <w:r w:rsidR="009A5822" w:rsidRPr="00C176A4">
              <w:rPr>
                <w:b/>
              </w:rPr>
              <w:t xml:space="preserve"> o provedenom savjetovanju s </w:t>
            </w:r>
            <w:r w:rsidR="00487368" w:rsidRPr="00C176A4">
              <w:rPr>
                <w:b/>
              </w:rPr>
              <w:t>javnošću</w:t>
            </w:r>
          </w:p>
          <w:p w:rsidR="00487368" w:rsidRDefault="00487368" w:rsidP="00487368"/>
        </w:tc>
      </w:tr>
      <w:tr w:rsidR="00487368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9D30E9" w:rsidRDefault="00E35482" w:rsidP="00603528">
            <w:pPr>
              <w:shd w:val="clear" w:color="auto" w:fill="FFFFFF"/>
            </w:pPr>
            <w:r w:rsidRPr="009D30E9">
              <w:t xml:space="preserve">Nacrt prijedloga </w:t>
            </w:r>
            <w:r w:rsidR="00603528">
              <w:t>odluke o naseljima u Gradu Zagrebu</w:t>
            </w:r>
          </w:p>
        </w:tc>
      </w:tr>
      <w:tr w:rsidR="00487368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14B" w:rsidRPr="0029414B" w:rsidRDefault="0029414B" w:rsidP="0029414B">
            <w:pPr>
              <w:rPr>
                <w:lang w:eastAsia="en-US"/>
              </w:rPr>
            </w:pPr>
            <w:r w:rsidRPr="0029414B">
              <w:rPr>
                <w:lang w:eastAsia="en-US"/>
              </w:rPr>
              <w:t xml:space="preserve">Gradski ured za </w:t>
            </w:r>
            <w:r w:rsidR="00603528">
              <w:rPr>
                <w:lang w:eastAsia="en-US"/>
              </w:rPr>
              <w:t>mjesnu samoupravu</w:t>
            </w:r>
          </w:p>
          <w:p w:rsidR="00487368" w:rsidRPr="00C176A4" w:rsidRDefault="00487368" w:rsidP="00C176A4">
            <w:pPr>
              <w:jc w:val="both"/>
              <w:rPr>
                <w:b/>
              </w:rPr>
            </w:pPr>
          </w:p>
        </w:tc>
      </w:tr>
      <w:tr w:rsidR="00487368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29414B" w:rsidRDefault="00603528" w:rsidP="00603528">
            <w:pPr>
              <w:jc w:val="both"/>
              <w:rPr>
                <w:b/>
              </w:rPr>
            </w:pPr>
            <w:r>
              <w:rPr>
                <w:b/>
              </w:rPr>
              <w:t>03.04.2019. – 03</w:t>
            </w:r>
            <w:r w:rsidR="00E35482">
              <w:rPr>
                <w:b/>
              </w:rPr>
              <w:t>.</w:t>
            </w:r>
            <w:r>
              <w:rPr>
                <w:b/>
              </w:rPr>
              <w:t>05.2019.</w:t>
            </w:r>
          </w:p>
        </w:tc>
      </w:tr>
      <w:tr w:rsidR="00487368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29414B" w:rsidRDefault="0029414B" w:rsidP="00C176A4">
            <w:pPr>
              <w:jc w:val="both"/>
            </w:pPr>
            <w:r w:rsidRPr="0029414B">
              <w:t>Internetsko savjetovanje</w:t>
            </w:r>
          </w:p>
        </w:tc>
      </w:tr>
    </w:tbl>
    <w:p w:rsidR="00487368" w:rsidRDefault="00487368" w:rsidP="00487368"/>
    <w:tbl>
      <w:tblPr>
        <w:tblW w:w="103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620"/>
        <w:gridCol w:w="3630"/>
        <w:gridCol w:w="2540"/>
      </w:tblGrid>
      <w:tr w:rsidR="00487368" w:rsidTr="00283583"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 w:rsidRPr="000021A1">
              <w:t>Red. br.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>
              <w:t xml:space="preserve">Predstavnici  javnosti </w:t>
            </w:r>
            <w:r w:rsidRPr="000021A1">
              <w:t>(pojedinac, organizacija, institucija)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29414B">
            <w:r w:rsidRPr="000021A1">
              <w:t>Članak na koji se odnosi primjedba/</w:t>
            </w:r>
          </w:p>
          <w:p w:rsidR="00487368" w:rsidRPr="000021A1" w:rsidRDefault="00487368" w:rsidP="0029414B">
            <w:r w:rsidRPr="000021A1">
              <w:t>prijedlog</w:t>
            </w:r>
          </w:p>
        </w:tc>
        <w:tc>
          <w:tcPr>
            <w:tcW w:w="36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 w:rsidRPr="000021A1">
              <w:t>Tekst primjedbe/</w:t>
            </w:r>
          </w:p>
          <w:p w:rsidR="00487368" w:rsidRPr="000021A1" w:rsidRDefault="00487368" w:rsidP="00C176A4">
            <w:pPr>
              <w:jc w:val="center"/>
            </w:pPr>
            <w:r w:rsidRPr="000021A1">
              <w:t>prijedloga</w:t>
            </w:r>
          </w:p>
        </w:tc>
        <w:tc>
          <w:tcPr>
            <w:tcW w:w="254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7368" w:rsidRPr="000021A1" w:rsidRDefault="00487368" w:rsidP="00C176A4">
            <w:pPr>
              <w:jc w:val="center"/>
            </w:pPr>
            <w:r w:rsidRPr="000021A1">
              <w:t>Prihv</w:t>
            </w:r>
            <w:r>
              <w:t>aćanje/ neprihvaćanje primjedbe/</w:t>
            </w:r>
            <w:r w:rsidRPr="000021A1">
              <w:t xml:space="preserve"> prijedloga sa obrazloženjem</w:t>
            </w:r>
          </w:p>
        </w:tc>
      </w:tr>
      <w:tr w:rsidR="009276ED" w:rsidTr="00283583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9276ED" w:rsidRPr="0029414B" w:rsidRDefault="009276ED" w:rsidP="00487368">
            <w:pPr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9276ED" w:rsidRDefault="009276ED" w:rsidP="00487368"/>
        </w:tc>
        <w:tc>
          <w:tcPr>
            <w:tcW w:w="1620" w:type="dxa"/>
            <w:shd w:val="clear" w:color="auto" w:fill="auto"/>
          </w:tcPr>
          <w:p w:rsidR="009276ED" w:rsidRDefault="009276ED" w:rsidP="00487368"/>
        </w:tc>
        <w:tc>
          <w:tcPr>
            <w:tcW w:w="3630" w:type="dxa"/>
            <w:shd w:val="clear" w:color="auto" w:fill="auto"/>
          </w:tcPr>
          <w:p w:rsidR="009276ED" w:rsidRPr="00E35482" w:rsidRDefault="009276ED" w:rsidP="00B07441">
            <w:pPr>
              <w:jc w:val="both"/>
            </w:pPr>
          </w:p>
        </w:tc>
        <w:tc>
          <w:tcPr>
            <w:tcW w:w="2540" w:type="dxa"/>
            <w:tcBorders>
              <w:right w:val="thinThickSmallGap" w:sz="24" w:space="0" w:color="auto"/>
            </w:tcBorders>
            <w:shd w:val="clear" w:color="auto" w:fill="auto"/>
          </w:tcPr>
          <w:p w:rsidR="009276ED" w:rsidRDefault="009276ED" w:rsidP="0006467F">
            <w:pPr>
              <w:shd w:val="clear" w:color="auto" w:fill="FFFFFF"/>
            </w:pPr>
          </w:p>
        </w:tc>
      </w:tr>
      <w:tr w:rsidR="008F2CF6" w:rsidTr="00283583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8F2CF6" w:rsidRPr="0029414B" w:rsidRDefault="008F2CF6" w:rsidP="0048736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:rsidR="008F2CF6" w:rsidRDefault="008F2CF6" w:rsidP="00643590">
            <w:r>
              <w:t>J</w:t>
            </w:r>
            <w:r w:rsidR="00643590">
              <w:t>.</w:t>
            </w:r>
            <w:r>
              <w:t xml:space="preserve"> </w:t>
            </w:r>
            <w:proofErr w:type="spellStart"/>
            <w:r>
              <w:t>Karadža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8F2CF6" w:rsidRDefault="008F2CF6" w:rsidP="00E81F41">
            <w:r>
              <w:t>Načeln</w:t>
            </w:r>
            <w:r w:rsidR="00603528">
              <w:t xml:space="preserve">a primjedba </w:t>
            </w:r>
            <w:r w:rsidR="00E81F41">
              <w:t>te</w:t>
            </w:r>
            <w:r w:rsidR="00603528">
              <w:t xml:space="preserve"> primjedba na članak 2.</w:t>
            </w:r>
          </w:p>
        </w:tc>
        <w:tc>
          <w:tcPr>
            <w:tcW w:w="3630" w:type="dxa"/>
            <w:shd w:val="clear" w:color="auto" w:fill="auto"/>
          </w:tcPr>
          <w:p w:rsidR="008F2CF6" w:rsidRPr="00E35482" w:rsidRDefault="00603528" w:rsidP="00F40956">
            <w:pPr>
              <w:jc w:val="both"/>
            </w:pPr>
            <w:r>
              <w:t xml:space="preserve">Promjena naziva naselja </w:t>
            </w:r>
            <w:r w:rsidR="00343901">
              <w:t>te</w:t>
            </w:r>
            <w:r>
              <w:t xml:space="preserve"> prijedlog za </w:t>
            </w:r>
            <w:r w:rsidR="00E81F41">
              <w:t xml:space="preserve">odvajanje </w:t>
            </w:r>
            <w:r w:rsidR="00343901">
              <w:t>i</w:t>
            </w:r>
            <w:r w:rsidR="00E81F41">
              <w:t xml:space="preserve"> </w:t>
            </w:r>
            <w:r>
              <w:t>utvrđenje granice</w:t>
            </w:r>
            <w:r w:rsidR="00E81F41">
              <w:t xml:space="preserve"> odvojenih</w:t>
            </w:r>
            <w:r w:rsidR="008F2CF6">
              <w:t xml:space="preserve"> </w:t>
            </w:r>
            <w:r>
              <w:t>naselja</w:t>
            </w:r>
            <w:r w:rsidR="00D842D6">
              <w:t xml:space="preserve"> (</w:t>
            </w:r>
            <w:proofErr w:type="spellStart"/>
            <w:r w:rsidR="00D842D6">
              <w:t>Dumovec</w:t>
            </w:r>
            <w:proofErr w:type="spellEnd"/>
            <w:r w:rsidR="00D842D6">
              <w:t xml:space="preserve">- </w:t>
            </w:r>
            <w:r w:rsidR="00F40956">
              <w:t>podjela na</w:t>
            </w:r>
            <w:r w:rsidR="00D842D6">
              <w:t xml:space="preserve"> </w:t>
            </w:r>
            <w:proofErr w:type="spellStart"/>
            <w:r w:rsidR="00D842D6">
              <w:t>Dumovec</w:t>
            </w:r>
            <w:proofErr w:type="spellEnd"/>
            <w:r w:rsidR="00D842D6">
              <w:t xml:space="preserve"> Donji i </w:t>
            </w:r>
            <w:proofErr w:type="spellStart"/>
            <w:r w:rsidR="00D842D6">
              <w:t>Dumovec</w:t>
            </w:r>
            <w:proofErr w:type="spellEnd"/>
            <w:r w:rsidR="00D842D6">
              <w:t xml:space="preserve"> Gornji)</w:t>
            </w:r>
            <w:r w:rsidR="00E81F41">
              <w:t>.</w:t>
            </w:r>
          </w:p>
        </w:tc>
        <w:tc>
          <w:tcPr>
            <w:tcW w:w="2540" w:type="dxa"/>
            <w:tcBorders>
              <w:right w:val="thinThickSmallGap" w:sz="24" w:space="0" w:color="auto"/>
            </w:tcBorders>
            <w:shd w:val="clear" w:color="auto" w:fill="auto"/>
          </w:tcPr>
          <w:p w:rsidR="00C362CF" w:rsidRDefault="00603528" w:rsidP="00C362CF">
            <w:pPr>
              <w:shd w:val="clear" w:color="auto" w:fill="FFFFFF"/>
            </w:pPr>
            <w:r w:rsidRPr="00603528">
              <w:t>Prijedlozi se ne prihvaćaju budući da</w:t>
            </w:r>
            <w:r w:rsidR="003701AA">
              <w:t xml:space="preserve"> se </w:t>
            </w:r>
            <w:r w:rsidR="003701AA" w:rsidRPr="003701AA">
              <w:t>ne odnos</w:t>
            </w:r>
            <w:r w:rsidR="003701AA">
              <w:t>e</w:t>
            </w:r>
            <w:r w:rsidR="003701AA" w:rsidRPr="003701AA">
              <w:t xml:space="preserve"> se na predloženi tekst Odluke</w:t>
            </w:r>
            <w:r w:rsidR="003701AA">
              <w:t>. Također, ističe</w:t>
            </w:r>
            <w:r w:rsidR="00F40956">
              <w:t xml:space="preserve"> se</w:t>
            </w:r>
            <w:bookmarkStart w:id="0" w:name="_GoBack"/>
            <w:bookmarkEnd w:id="0"/>
            <w:r w:rsidR="003701AA">
              <w:t xml:space="preserve"> da je</w:t>
            </w:r>
            <w:r w:rsidRPr="00603528">
              <w:t xml:space="preserve"> </w:t>
            </w:r>
            <w:r>
              <w:t>Zakonom o nasel</w:t>
            </w:r>
            <w:r w:rsidR="00C362CF">
              <w:t>jima (Narodne novine 54/88)</w:t>
            </w:r>
            <w:r w:rsidR="00E81F41">
              <w:t xml:space="preserve"> </w:t>
            </w:r>
            <w:r w:rsidR="00C362CF">
              <w:t>utvrđen način i postupak utvrđivanja granica područja naselja, spajanja i razdvajanja naselja, određivanja imena naselja, ulica i trgova, obilježavanja zgrada brojevima i vođenje evidencije o naseljima,</w:t>
            </w:r>
          </w:p>
          <w:p w:rsidR="000926F7" w:rsidRDefault="00C362CF" w:rsidP="00C362CF">
            <w:pPr>
              <w:shd w:val="clear" w:color="auto" w:fill="FFFFFF"/>
            </w:pPr>
            <w:r>
              <w:t>ulicama, trgovima i zgradama, dok</w:t>
            </w:r>
            <w:r w:rsidR="000926F7">
              <w:t xml:space="preserve"> se</w:t>
            </w:r>
            <w:r>
              <w:t xml:space="preserve"> </w:t>
            </w:r>
            <w:r w:rsidR="00603528">
              <w:t xml:space="preserve">važećom Odlukom o granicama područja naselja </w:t>
            </w:r>
            <w:r>
              <w:t>(Službeni glasnik Grada Zagreba 7/07)</w:t>
            </w:r>
            <w:r w:rsidR="00E81F41">
              <w:t>,</w:t>
            </w:r>
            <w:r w:rsidR="000926F7">
              <w:t xml:space="preserve"> </w:t>
            </w:r>
            <w:r w:rsidR="000926F7" w:rsidRPr="000926F7">
              <w:t>utvrđ</w:t>
            </w:r>
            <w:r w:rsidR="000926F7">
              <w:t>uju</w:t>
            </w:r>
            <w:r w:rsidR="000926F7" w:rsidRPr="000926F7">
              <w:t xml:space="preserve"> granice područja naselja u Gradu Zagrebu</w:t>
            </w:r>
            <w:r w:rsidR="000926F7">
              <w:t>.</w:t>
            </w:r>
          </w:p>
          <w:p w:rsidR="00E81F41" w:rsidRDefault="000926F7" w:rsidP="00C362CF">
            <w:pPr>
              <w:shd w:val="clear" w:color="auto" w:fill="FFFFFF"/>
            </w:pPr>
            <w:r>
              <w:t>Naime, sukladno</w:t>
            </w:r>
            <w:r w:rsidR="00E81F41">
              <w:t xml:space="preserve"> članku 4. Zakona</w:t>
            </w:r>
            <w:r>
              <w:t>,</w:t>
            </w:r>
            <w:r w:rsidR="00E81F41">
              <w:t xml:space="preserve"> granice područja </w:t>
            </w:r>
            <w:r w:rsidR="00E81F41">
              <w:lastRenderedPageBreak/>
              <w:t>naselja</w:t>
            </w:r>
            <w:r>
              <w:t xml:space="preserve"> odnosno</w:t>
            </w:r>
            <w:r w:rsidR="00E81F41">
              <w:t xml:space="preserve"> </w:t>
            </w:r>
            <w:r>
              <w:t xml:space="preserve">spajanje i razdvajanja naselja </w:t>
            </w:r>
            <w:r w:rsidR="00E81F41">
              <w:t>utvrđuj</w:t>
            </w:r>
            <w:r>
              <w:t>u</w:t>
            </w:r>
            <w:r w:rsidR="00E81F41">
              <w:t xml:space="preserve"> se odlukom skupštine općine (Gradske skupštine), uz pribavljeno mišljenje mjesnih zajednica (vijeće gradske četvrti i vijeća mjesnih odbora) na čijem području se naselje nalazi.</w:t>
            </w:r>
          </w:p>
          <w:p w:rsidR="008F2CF6" w:rsidRDefault="00E81F41" w:rsidP="00D842D6">
            <w:pPr>
              <w:shd w:val="clear" w:color="auto" w:fill="FFFFFF"/>
            </w:pPr>
            <w:r>
              <w:t>Također, člankom 9. stavkom 1. propisano je da ime naselja određuje skupština općine (Gradska skupština) uz pribavljeno mišljenje mjesnih zajednica (vijeća gradske četvrti i vijeća mjesnih odbora) na č</w:t>
            </w:r>
            <w:r w:rsidR="000926F7">
              <w:t>ijem području se nalazi naselje</w:t>
            </w:r>
            <w:r w:rsidR="00D842D6">
              <w:t>.</w:t>
            </w:r>
            <w:r w:rsidR="000926F7">
              <w:t xml:space="preserve"> </w:t>
            </w:r>
          </w:p>
        </w:tc>
      </w:tr>
      <w:tr w:rsidR="001E22B4" w:rsidTr="00283583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1E22B4" w:rsidRDefault="001E22B4" w:rsidP="00487368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800" w:type="dxa"/>
            <w:shd w:val="clear" w:color="auto" w:fill="auto"/>
          </w:tcPr>
          <w:p w:rsidR="001E22B4" w:rsidRDefault="00D842D6" w:rsidP="00487368">
            <w:r w:rsidRPr="00D842D6">
              <w:t>Gradski ured za strategijsko planiranje i razvoj Grada</w:t>
            </w:r>
          </w:p>
        </w:tc>
        <w:tc>
          <w:tcPr>
            <w:tcW w:w="1620" w:type="dxa"/>
            <w:shd w:val="clear" w:color="auto" w:fill="auto"/>
          </w:tcPr>
          <w:p w:rsidR="001E22B4" w:rsidRDefault="001E22B4" w:rsidP="00E81F41"/>
        </w:tc>
        <w:tc>
          <w:tcPr>
            <w:tcW w:w="3630" w:type="dxa"/>
            <w:shd w:val="clear" w:color="auto" w:fill="auto"/>
          </w:tcPr>
          <w:p w:rsidR="001E22B4" w:rsidRDefault="001E22B4" w:rsidP="00D842D6">
            <w:pPr>
              <w:jc w:val="both"/>
            </w:pPr>
            <w:r>
              <w:t>P</w:t>
            </w:r>
            <w:r w:rsidR="00D842D6">
              <w:t>rijedlog</w:t>
            </w:r>
            <w:r w:rsidRPr="001E22B4">
              <w:t xml:space="preserve"> da se na potezu od </w:t>
            </w:r>
            <w:proofErr w:type="spellStart"/>
            <w:r w:rsidRPr="001E22B4">
              <w:t>Ježdovca</w:t>
            </w:r>
            <w:proofErr w:type="spellEnd"/>
            <w:r w:rsidRPr="001E22B4">
              <w:t xml:space="preserve"> do Velikog Polja izvrši usklađivanje granica naselja sa stanjem u naravi (obilaznica) i pripajanje ostatka naselja </w:t>
            </w:r>
            <w:proofErr w:type="spellStart"/>
            <w:r w:rsidRPr="001E22B4">
              <w:t>Botinec</w:t>
            </w:r>
            <w:proofErr w:type="spellEnd"/>
            <w:r w:rsidRPr="001E22B4">
              <w:t xml:space="preserve"> nekom od susjednih naselja (prijedlog Odranski </w:t>
            </w:r>
            <w:proofErr w:type="spellStart"/>
            <w:r w:rsidRPr="001E22B4">
              <w:t>Obrež</w:t>
            </w:r>
            <w:proofErr w:type="spellEnd"/>
            <w:r w:rsidRPr="001E22B4">
              <w:t>). Prilikom daljnjeg definiranja prostornih jedinica, a naročito statističkih i popisnih krugova, predlaže se rukovođenje načelom obuhvaćanja funkcionalnih prostornih cjelina. Na taj način će statistički podaci, povezani s prostornim jedinicama, biti iskoristivi u radu gradske uprave za analitičke svrhe.</w:t>
            </w:r>
          </w:p>
        </w:tc>
        <w:tc>
          <w:tcPr>
            <w:tcW w:w="2540" w:type="dxa"/>
            <w:tcBorders>
              <w:right w:val="thinThickSmallGap" w:sz="24" w:space="0" w:color="auto"/>
            </w:tcBorders>
            <w:shd w:val="clear" w:color="auto" w:fill="auto"/>
          </w:tcPr>
          <w:p w:rsidR="001E22B4" w:rsidRPr="00603528" w:rsidRDefault="003701AA" w:rsidP="003701AA">
            <w:pPr>
              <w:shd w:val="clear" w:color="auto" w:fill="FFFFFF"/>
            </w:pPr>
            <w:r>
              <w:t xml:space="preserve">Prijedlog se ne prihvaća uz  obrazloženje kao iz točke 1. </w:t>
            </w:r>
          </w:p>
        </w:tc>
      </w:tr>
      <w:tr w:rsidR="001E22B4" w:rsidTr="00283583">
        <w:tc>
          <w:tcPr>
            <w:tcW w:w="720" w:type="dxa"/>
            <w:tcBorders>
              <w:left w:val="thinThickSmallGap" w:sz="24" w:space="0" w:color="auto"/>
            </w:tcBorders>
            <w:shd w:val="clear" w:color="auto" w:fill="auto"/>
          </w:tcPr>
          <w:p w:rsidR="001E22B4" w:rsidRDefault="001E22B4" w:rsidP="0048736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1E22B4" w:rsidRDefault="001E22B4" w:rsidP="00D842D6">
            <w:r>
              <w:t>I</w:t>
            </w:r>
            <w:r w:rsidR="00D842D6">
              <w:t xml:space="preserve">. </w:t>
            </w:r>
            <w:proofErr w:type="spellStart"/>
            <w:r>
              <w:t>Jakšetić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E22B4" w:rsidRDefault="001E22B4" w:rsidP="00E81F41">
            <w:r>
              <w:t>Prijedlog</w:t>
            </w:r>
          </w:p>
        </w:tc>
        <w:tc>
          <w:tcPr>
            <w:tcW w:w="3630" w:type="dxa"/>
            <w:shd w:val="clear" w:color="auto" w:fill="auto"/>
          </w:tcPr>
          <w:p w:rsidR="001E22B4" w:rsidRDefault="00D842D6" w:rsidP="00D842D6">
            <w:pPr>
              <w:jc w:val="both"/>
            </w:pPr>
            <w:r>
              <w:t>Prijedlog da se r</w:t>
            </w:r>
            <w:r w:rsidR="001E22B4">
              <w:t>azmotriti promjen</w:t>
            </w:r>
            <w:r>
              <w:t>a</w:t>
            </w:r>
            <w:r w:rsidR="001E22B4">
              <w:t xml:space="preserve"> granica naselja </w:t>
            </w:r>
            <w:proofErr w:type="spellStart"/>
            <w:r w:rsidR="001E22B4">
              <w:t>Budenec</w:t>
            </w:r>
            <w:proofErr w:type="spellEnd"/>
            <w:r w:rsidR="001E22B4">
              <w:t xml:space="preserve"> (u odnosu na lokacije koje trenutno nalaze na području </w:t>
            </w:r>
            <w:r w:rsidR="00643590">
              <w:t xml:space="preserve">naselja ili </w:t>
            </w:r>
            <w:r w:rsidR="001E22B4">
              <w:t xml:space="preserve">MO </w:t>
            </w:r>
            <w:proofErr w:type="spellStart"/>
            <w:r w:rsidR="001E22B4">
              <w:t>Šašinovec</w:t>
            </w:r>
            <w:proofErr w:type="spellEnd"/>
            <w:r w:rsidR="001E22B4">
              <w:t>)</w:t>
            </w:r>
          </w:p>
        </w:tc>
        <w:tc>
          <w:tcPr>
            <w:tcW w:w="2540" w:type="dxa"/>
            <w:tcBorders>
              <w:right w:val="thinThickSmallGap" w:sz="24" w:space="0" w:color="auto"/>
            </w:tcBorders>
            <w:shd w:val="clear" w:color="auto" w:fill="auto"/>
          </w:tcPr>
          <w:p w:rsidR="00643590" w:rsidRPr="00603528" w:rsidRDefault="003701AA" w:rsidP="00643590">
            <w:pPr>
              <w:shd w:val="clear" w:color="auto" w:fill="FFFFFF"/>
            </w:pPr>
            <w:r w:rsidRPr="003701AA">
              <w:t xml:space="preserve">Prijedlog se ne prihvaća uz  obrazloženje kao iz točke 1. </w:t>
            </w:r>
            <w:r w:rsidR="00643590">
              <w:t xml:space="preserve"> </w:t>
            </w:r>
          </w:p>
        </w:tc>
      </w:tr>
    </w:tbl>
    <w:p w:rsidR="0021407F" w:rsidRDefault="0021407F"/>
    <w:sectPr w:rsidR="0021407F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68"/>
    <w:rsid w:val="00045D40"/>
    <w:rsid w:val="0006467F"/>
    <w:rsid w:val="0007203C"/>
    <w:rsid w:val="000926F7"/>
    <w:rsid w:val="000C3EE8"/>
    <w:rsid w:val="001E22B4"/>
    <w:rsid w:val="0021407F"/>
    <w:rsid w:val="00247019"/>
    <w:rsid w:val="0027581C"/>
    <w:rsid w:val="00283583"/>
    <w:rsid w:val="0029414B"/>
    <w:rsid w:val="00313306"/>
    <w:rsid w:val="00343901"/>
    <w:rsid w:val="003701AA"/>
    <w:rsid w:val="00485374"/>
    <w:rsid w:val="00487368"/>
    <w:rsid w:val="004A2662"/>
    <w:rsid w:val="00603528"/>
    <w:rsid w:val="00643590"/>
    <w:rsid w:val="00706885"/>
    <w:rsid w:val="00776E40"/>
    <w:rsid w:val="008653F1"/>
    <w:rsid w:val="008F2CF6"/>
    <w:rsid w:val="009276ED"/>
    <w:rsid w:val="00965852"/>
    <w:rsid w:val="009A5822"/>
    <w:rsid w:val="009D30E9"/>
    <w:rsid w:val="00A002FA"/>
    <w:rsid w:val="00B07441"/>
    <w:rsid w:val="00B7735D"/>
    <w:rsid w:val="00B801C5"/>
    <w:rsid w:val="00BC23B6"/>
    <w:rsid w:val="00C176A4"/>
    <w:rsid w:val="00C362CF"/>
    <w:rsid w:val="00D842D6"/>
    <w:rsid w:val="00D90159"/>
    <w:rsid w:val="00E35482"/>
    <w:rsid w:val="00E81F41"/>
    <w:rsid w:val="00F40956"/>
    <w:rsid w:val="00F7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2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23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2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2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azenko</dc:creator>
  <cp:lastModifiedBy>Marko Pavlek</cp:lastModifiedBy>
  <cp:revision>9</cp:revision>
  <cp:lastPrinted>2019-05-06T12:18:00Z</cp:lastPrinted>
  <dcterms:created xsi:type="dcterms:W3CDTF">2019-04-04T09:45:00Z</dcterms:created>
  <dcterms:modified xsi:type="dcterms:W3CDTF">2019-05-07T06:57:00Z</dcterms:modified>
</cp:coreProperties>
</file>